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262626"/>
          <w:spacing w:val="0"/>
          <w:sz w:val="48"/>
          <w:szCs w:val="48"/>
        </w:rPr>
      </w:pPr>
      <w:r>
        <w:rPr>
          <w:rFonts w:ascii="微软雅黑" w:hAnsi="微软雅黑" w:eastAsia="微软雅黑" w:cs="微软雅黑"/>
          <w:b/>
          <w:i w:val="0"/>
          <w:caps w:val="0"/>
          <w:color w:val="262626"/>
          <w:spacing w:val="0"/>
          <w:sz w:val="48"/>
          <w:szCs w:val="48"/>
        </w:rPr>
        <w:t>习近平在中央民族工作会议上强调 以</w:t>
      </w:r>
    </w:p>
    <w:p>
      <w:pPr>
        <w:jc w:val="center"/>
        <w:rPr>
          <w:rFonts w:hint="eastAsia" w:ascii="微软雅黑" w:hAnsi="微软雅黑" w:eastAsia="微软雅黑" w:cs="微软雅黑"/>
          <w:b/>
          <w:i w:val="0"/>
          <w:caps w:val="0"/>
          <w:color w:val="262626"/>
          <w:spacing w:val="0"/>
          <w:sz w:val="48"/>
          <w:szCs w:val="48"/>
        </w:rPr>
      </w:pPr>
      <w:r>
        <w:rPr>
          <w:rFonts w:ascii="微软雅黑" w:hAnsi="微软雅黑" w:eastAsia="微软雅黑" w:cs="微软雅黑"/>
          <w:b/>
          <w:i w:val="0"/>
          <w:caps w:val="0"/>
          <w:color w:val="262626"/>
          <w:spacing w:val="0"/>
          <w:sz w:val="48"/>
          <w:szCs w:val="48"/>
        </w:rPr>
        <w:t>铸牢中华民族共同体</w:t>
      </w:r>
      <w:r>
        <w:rPr>
          <w:rFonts w:hint="eastAsia" w:ascii="微软雅黑" w:hAnsi="微软雅黑" w:eastAsia="微软雅黑" w:cs="微软雅黑"/>
          <w:b/>
          <w:i w:val="0"/>
          <w:caps w:val="0"/>
          <w:color w:val="262626"/>
          <w:spacing w:val="0"/>
          <w:sz w:val="48"/>
          <w:szCs w:val="48"/>
        </w:rPr>
        <w:t>意识为主线 推动新时代党的民族工作高质量发展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新华社北京8月28日电 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李克强主持会议。栗战书、王沪宁、赵乐际、韩正出席会议。汪洋作总结讲话。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党的民族工作创新发展，就是要坚持正确的，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握物质和精神的关系，要赋予所有改革发展以彰显中华民族共同体意识的意义，以维护统一、反对分裂的意义，以改善民生、凝聚人心的意义，让中华民族共同体牢不可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推进固边兴边富民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中共中央政治局委员、中央书记处书记，全国人大常委会有关领导同志，国务委员，最高人民法院院长，最高人民检察院检察长，全国政协有关领导同志等出席会议。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480" w:lineRule="atLeast"/>
        <w:ind w:left="0" w:right="0" w:firstLine="540" w:firstLineChars="200"/>
        <w:jc w:val="both"/>
        <w:textAlignment w:val="auto"/>
        <w:outlineLvl w:val="9"/>
        <w:rPr>
          <w:rFonts w:hint="eastAsia" w:ascii="微软雅黑" w:hAnsi="微软雅黑" w:eastAsia="微软雅黑" w:cs="微软雅黑"/>
          <w:i w:val="0"/>
          <w:caps w:val="0"/>
          <w:color w:val="262626"/>
          <w:spacing w:val="0"/>
          <w:sz w:val="27"/>
          <w:szCs w:val="27"/>
        </w:rPr>
      </w:pPr>
      <w:bookmarkStart w:id="0" w:name="_GoBack"/>
      <w:bookmarkEnd w:id="0"/>
      <w:r>
        <w:rPr>
          <w:rFonts w:hint="eastAsia" w:ascii="微软雅黑" w:hAnsi="微软雅黑" w:eastAsia="微软雅黑" w:cs="微软雅黑"/>
          <w:i w:val="0"/>
          <w:caps w:val="0"/>
          <w:color w:val="262626"/>
          <w:spacing w:val="0"/>
          <w:sz w:val="27"/>
          <w:szCs w:val="27"/>
          <w:bdr w:val="none" w:color="auto" w:sz="0" w:space="0"/>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pPr>
        <w:keepNext w:val="0"/>
        <w:keepLines w:val="0"/>
        <w:pageBreakBefore w:val="0"/>
        <w:kinsoku/>
        <w:wordWrap/>
        <w:overflowPunct/>
        <w:topLinePunct w:val="0"/>
        <w:autoSpaceDE/>
        <w:autoSpaceDN/>
        <w:bidi w:val="0"/>
        <w:adjustRightInd/>
        <w:snapToGrid/>
        <w:ind w:firstLine="960" w:firstLineChars="200"/>
        <w:jc w:val="center"/>
        <w:textAlignment w:val="auto"/>
        <w:outlineLvl w:val="9"/>
        <w:rPr>
          <w:rFonts w:hint="eastAsia" w:ascii="微软雅黑" w:hAnsi="微软雅黑" w:eastAsia="微软雅黑" w:cs="微软雅黑"/>
          <w:b/>
          <w:i w:val="0"/>
          <w:caps w:val="0"/>
          <w:color w:val="262626"/>
          <w:spacing w:val="0"/>
          <w:sz w:val="48"/>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E2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2021-08-30T02:40:04Z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